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住宅の被害状況に関する申出書</w: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（住宅の応急修理に関する参考資料）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７</w:t>
      </w:r>
      <w:r>
        <w:rPr>
          <w:rFonts w:hint="eastAsia" w:ascii="ＭＳ ゴシック" w:hAnsi="ＭＳ ゴシック" w:eastAsia="ＭＳ ゴシック"/>
          <w:color w:val="000000" w:themeColor="text1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○○</w:t>
      </w:r>
      <w:r>
        <w:rPr>
          <w:rFonts w:hint="eastAsia" w:ascii="ＭＳ ゴシック" w:hAnsi="ＭＳ ゴシック" w:eastAsia="ＭＳ ゴシック"/>
          <w:color w:val="000000" w:themeColor="text1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○○</w:t>
      </w:r>
      <w:r>
        <w:rPr>
          <w:rFonts w:hint="eastAsia" w:ascii="ＭＳ ゴシック" w:hAnsi="ＭＳ ゴシック" w:eastAsia="ＭＳ ゴシック"/>
          <w:color w:val="000000" w:themeColor="text1"/>
        </w:rPr>
        <w:t>日</w:t>
      </w: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珠洲市長　泉谷　満寿裕　様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ind w:firstLine="4096" w:firstLineChars="17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住所　</w:t>
      </w:r>
      <w:r>
        <w:rPr>
          <w:rFonts w:hint="eastAsia" w:ascii="BIZ UDPゴシック" w:hAnsi="BIZ UDPゴシック" w:eastAsia="BIZ UDPゴシック"/>
          <w:color w:val="FF0000"/>
          <w:u w:val="single" w:color="auto"/>
        </w:rPr>
        <w:t>珠洲市〇〇町〇〇番地</w:t>
      </w: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　　　　　　　　</w:t>
      </w:r>
    </w:p>
    <w:p>
      <w:pPr>
        <w:pStyle w:val="0"/>
        <w:snapToGrid w:val="0"/>
        <w:ind w:firstLine="4096" w:firstLineChars="170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氏名　</w:t>
      </w:r>
      <w:r>
        <w:rPr>
          <w:rFonts w:hint="eastAsia" w:ascii="BIZ UDPゴシック" w:hAnsi="BIZ UDPゴシック" w:eastAsia="BIZ UDPゴシック"/>
          <w:color w:val="FF0000"/>
          <w:spacing w:val="-9"/>
          <w:u w:val="single" w:color="auto"/>
        </w:rPr>
        <w:t>珠洲　太郎</w:t>
      </w: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635" t="635" r="29845" b="10795"/>
                <wp:wrapNone/>
                <wp:docPr id="1026" name="正方形/長方形 1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2"/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position-vertical-relative:text;z-index:2;mso-wrap-distance-left:9pt;width:493.6pt;height:58.5pt;mso-position-horizontal-relative:text;position:absolute;margin-left:-4.95pt;margin-top:6.4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ind w:left="241" w:hanging="241" w:hanging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※　災害救助法に基づく住宅の応急修理制度とは、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自らの資力で</w:t>
      </w:r>
      <w:r>
        <w:rPr>
          <w:rFonts w:hint="eastAsia" w:ascii="ＭＳ ゴシック" w:hAnsi="ＭＳ ゴシック" w:eastAsia="ＭＳ ゴシック"/>
          <w:color w:val="000000" w:themeColor="text1"/>
        </w:rPr>
        <w:t>修理を行うことができず、当面の日常生活に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最低限必要な場所を確保できない方</w:t>
      </w:r>
      <w:r>
        <w:rPr>
          <w:rFonts w:hint="eastAsia" w:ascii="ＭＳ ゴシック" w:hAnsi="ＭＳ ゴシック" w:eastAsia="ＭＳ ゴシック"/>
          <w:color w:val="000000" w:themeColor="text1"/>
        </w:rPr>
        <w:t>に対して、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必要最小限の修理</w:t>
      </w:r>
      <w:r>
        <w:rPr>
          <w:rFonts w:hint="eastAsia" w:ascii="ＭＳ ゴシック" w:hAnsi="ＭＳ ゴシック" w:eastAsia="ＭＳ ゴシック"/>
          <w:color w:val="000000" w:themeColor="text1"/>
        </w:rPr>
        <w:t>を行うものです。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１　応急修理対象箇所について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27" name="正方形/長方形 1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11"/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1" style="mso-position-vertical-relative:text;z-index:3;mso-wrap-distance-left:9pt;width:466.5pt;height:35.450000000000003pt;mso-position-horizontal-relative:text;position:absolute;margin-left:6pt;margin-top:14.85pt;mso-wrap-distance-bottom:0pt;mso-wrap-distance-right:9pt;mso-wrap-distance-top:0pt;" o:spid="_x0000_s1027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</w:rPr>
        <w:t>　　修理を希望する箇所は以下の部分です。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※　この制度で修理できる部分は、日常生活に欠かせない居室（居間・寝室）・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　炊事室・便所・浴室これらをつなぐ廊下です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ind w:left="482" w:leftChars="200"/>
        <w:jc w:val="left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修理対象箇所　　</w:t>
      </w:r>
      <w:r>
        <w:rPr>
          <w:rFonts w:hint="eastAsia" w:ascii="BIZ UDPゴシック" w:hAnsi="BIZ UDPゴシック" w:eastAsia="BIZ UDPゴシック"/>
          <w:color w:val="FF0000"/>
          <w:u w:val="single" w:color="auto"/>
        </w:rPr>
        <w:t>屋根</w:t>
      </w: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　　　　　　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２　床について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（※　床の構造は、床組（床の骨組み）＋床の下地板＋表面の仕上材からなってい</w:t>
      </w:r>
    </w:p>
    <w:p>
      <w:pPr>
        <w:pStyle w:val="0"/>
        <w:snapToGrid w:val="0"/>
        <w:ind w:firstLine="723" w:firstLineChars="3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ます。）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床組　または　下地板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下地材が吸水により変形、床下の湿気・悪臭・汚損がある。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仕上材のみの不具合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３　壁について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tbl>
      <w:tblPr>
        <w:tblStyle w:val="40"/>
        <w:tblW w:w="900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60"/>
        <w:gridCol w:w="6847"/>
      </w:tblGrid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（※壁の構造は、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①　柱・はり＋下地材＋表面材（壁紙など）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68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②　柱・はり＋仕上板（プリント合板・板など）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68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right="0" w:rightChars="0" w:firstLine="0" w:firstLineChars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③　柱・はり＋竹組下地＋塗仕上げ　からなっています。）</w:t>
            </w:r>
          </w:p>
        </w:tc>
      </w:tr>
    </w:tbl>
    <w:p>
      <w:pPr>
        <w:pStyle w:val="0"/>
        <w:snapToGrid w:val="0"/>
        <w:ind w:left="0" w:leftChars="0" w:right="0" w:rightChars="0"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柱・はり　または　下地板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下地板・仕上板が地震により変形しており、日常生活に支障がある。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下地板・仕上板が吸水により湿気・悪臭・汚損があり、日常生活に支障がある。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壁紙がはがれているのみ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４　屋根について　１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33655</wp:posOffset>
                </wp:positionV>
                <wp:extent cx="590550" cy="28130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90550" cy="2813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✓　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6.5pt;height:22.15pt;mso-position-horizontal-relative:text;position:absolute;margin-left:6pt;margin-top:2.65pt;mso-wrap-distance-bottom:0pt;mso-wrap-distance-right:16pt;mso-wrap-distance-top:0pt;v-text-anchor:middle;mso-wrap-style:none;" o:spid="_x0000_s1028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✓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</w:rPr>
        <w:t>　（※屋根の構造は、小屋組＋屋根の下地材＋表面の仕上材からなっています。）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屋根の瓦等の仕上げ材、下地材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雨漏りにより、天井・内壁・床に大きな被害があり、１室以上を使用できない。</w:t>
      </w:r>
    </w:p>
    <w:p>
      <w:pPr>
        <w:pStyle w:val="0"/>
        <w:snapToGrid w:val="0"/>
        <w:ind w:left="482" w:leftChars="100" w:hanging="241" w:hangingChars="100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屋内に浸水した痕跡がみられない、浸水被害が軽微　→　制度の対象外です。</w:t>
      </w:r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90"/>
      <w:rPr>
        <w:rFonts w:hint="default"/>
      </w:rPr>
    </w:pPr>
  </w:p>
  <w:p>
    <w:pPr>
      <w:pStyle w:val="0"/>
      <w:adjustRightInd w:val="1"/>
      <w:jc w:val="center"/>
      <w:framePr w:wrap="around" w:hAnchor="page" w:vAnchor="text" w:x="1471" w:y="-690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784</Characters>
  <Application>JUST Note</Application>
  <Lines>50</Lines>
  <Paragraphs>35</Paragraphs>
  <Company>厚生労働省</Company>
  <CharactersWithSpaces>901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SAIGAI9113</cp:lastModifiedBy>
  <cp:lastPrinted>2023-07-07T01:14:00Z</cp:lastPrinted>
  <dcterms:created xsi:type="dcterms:W3CDTF">2024-06-05T05:46:00Z</dcterms:created>
  <dcterms:modified xsi:type="dcterms:W3CDTF">2025-09-24T11:10:41Z</dcterms:modified>
  <cp:revision>5</cp:revision>
</cp:coreProperties>
</file>